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B21" w:rsidRDefault="00657B21" w:rsidP="00657B21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Supplementary files</w:t>
      </w:r>
    </w:p>
    <w:p w:rsidR="00065EB5" w:rsidRDefault="00065EB5" w:rsidP="00065EB5">
      <w:pPr>
        <w:adjustRightInd w:val="0"/>
        <w:snapToGrid w:val="0"/>
        <w:spacing w:before="240" w:after="120" w:line="360" w:lineRule="auto"/>
        <w:ind w:right="425"/>
        <w:rPr>
          <w:rFonts w:ascii="Times New Roman" w:hAnsi="Times New Roman" w:cs="Times New Roman"/>
          <w:b/>
          <w:sz w:val="20"/>
          <w:szCs w:val="20"/>
        </w:rPr>
      </w:pPr>
      <w:r w:rsidRPr="001C191E">
        <w:rPr>
          <w:rFonts w:ascii="Times New Roman" w:hAnsi="Times New Roman" w:cs="Times New Roman"/>
          <w:b/>
          <w:sz w:val="20"/>
          <w:szCs w:val="20"/>
        </w:rPr>
        <w:t>Supplement t</w:t>
      </w:r>
      <w:r>
        <w:rPr>
          <w:rFonts w:ascii="Times New Roman" w:hAnsi="Times New Roman" w:cs="Times New Roman"/>
          <w:b/>
          <w:sz w:val="20"/>
          <w:szCs w:val="20"/>
        </w:rPr>
        <w:t>able 1</w:t>
      </w:r>
      <w:r w:rsidRPr="00065EB5">
        <w:rPr>
          <w:rFonts w:ascii="Times New Roman" w:hAnsi="Times New Roman" w:cs="Times New Roman"/>
          <w:b/>
          <w:sz w:val="20"/>
          <w:szCs w:val="20"/>
        </w:rPr>
        <w:t>. Multivariate analysis of predictive factors for the responder</w:t>
      </w:r>
    </w:p>
    <w:tbl>
      <w:tblPr>
        <w:tblW w:w="635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4"/>
        <w:gridCol w:w="1086"/>
        <w:gridCol w:w="1455"/>
      </w:tblGrid>
      <w:tr w:rsidR="00065EB5" w:rsidRPr="00065EB5" w:rsidTr="00065EB5">
        <w:trPr>
          <w:trHeight w:val="191"/>
        </w:trPr>
        <w:tc>
          <w:tcPr>
            <w:tcW w:w="381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b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/>
                <w:bCs/>
                <w:color w:val="000000"/>
                <w:kern w:val="24"/>
                <w:sz w:val="18"/>
                <w:szCs w:val="18"/>
                <w:lang w:eastAsia="de-DE"/>
              </w:rPr>
              <w:t>Variables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b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/>
                <w:bCs/>
                <w:i/>
                <w:iCs/>
                <w:color w:val="000000"/>
                <w:kern w:val="24"/>
                <w:sz w:val="18"/>
                <w:szCs w:val="18"/>
                <w:lang w:eastAsia="de-DE"/>
              </w:rPr>
              <w:t>p</w:t>
            </w:r>
            <w:r w:rsidRPr="00065EB5">
              <w:rPr>
                <w:rFonts w:ascii="Palatino Linotype" w:eastAsia="바탕" w:hAnsi="Palatino Linotype" w:cs="Times New Roman"/>
                <w:b/>
                <w:bCs/>
                <w:color w:val="000000"/>
                <w:kern w:val="24"/>
                <w:sz w:val="18"/>
                <w:szCs w:val="18"/>
                <w:lang w:eastAsia="de-DE"/>
              </w:rPr>
              <w:t>-value</w:t>
            </w:r>
          </w:p>
        </w:tc>
        <w:tc>
          <w:tcPr>
            <w:tcW w:w="145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b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Odds ratio </w:t>
            </w: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Age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Gender (male/female*)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Child-Pugh score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MELD score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바탕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AST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239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ALT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  <w:bookmarkStart w:id="0" w:name="_GoBack"/>
        <w:bookmarkEnd w:id="0"/>
      </w:tr>
      <w:tr w:rsidR="00065EB5" w:rsidRPr="00065EB5" w:rsidTr="00065EB5">
        <w:trPr>
          <w:trHeight w:val="239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ind w:firstLineChars="50" w:firstLine="90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ALP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NS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</w:p>
        </w:tc>
      </w:tr>
      <w:tr w:rsidR="00065EB5" w:rsidRPr="00065EB5" w:rsidTr="00065EB5">
        <w:trPr>
          <w:trHeight w:val="175"/>
        </w:trPr>
        <w:tc>
          <w:tcPr>
            <w:tcW w:w="381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High laennec score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0.007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3.73</w:t>
            </w:r>
          </w:p>
        </w:tc>
      </w:tr>
      <w:tr w:rsidR="00065EB5" w:rsidRPr="00065EB5" w:rsidTr="00065EB5">
        <w:trPr>
          <w:trHeight w:val="14"/>
        </w:trPr>
        <w:tc>
          <w:tcPr>
            <w:tcW w:w="381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bCs/>
                <w:color w:val="000000"/>
                <w:kern w:val="24"/>
                <w:sz w:val="18"/>
                <w:szCs w:val="18"/>
                <w:lang w:eastAsia="de-DE"/>
              </w:rPr>
              <w:t xml:space="preserve"> Treatment with BM-MSCs (yea/no*)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0.033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65EB5" w:rsidRPr="00065EB5" w:rsidRDefault="00065EB5" w:rsidP="00065EB5">
            <w:pPr>
              <w:adjustRightInd w:val="0"/>
              <w:snapToGrid w:val="0"/>
              <w:spacing w:after="0" w:line="260" w:lineRule="atLeast"/>
              <w:jc w:val="both"/>
              <w:textAlignment w:val="baseline"/>
              <w:rPr>
                <w:rFonts w:ascii="Palatino Linotype" w:eastAsia="굴림" w:hAnsi="Palatino Linotype" w:cs="Times New Roman"/>
                <w:color w:val="000000"/>
                <w:sz w:val="18"/>
                <w:szCs w:val="18"/>
                <w:lang w:eastAsia="de-DE"/>
              </w:rPr>
            </w:pPr>
            <w:r w:rsidRPr="00065EB5">
              <w:rPr>
                <w:rFonts w:ascii="Palatino Linotype" w:eastAsia="굴림" w:hAnsi="Palatino Linotype" w:cs="Times New Roman"/>
                <w:color w:val="000000"/>
                <w:kern w:val="24"/>
                <w:sz w:val="18"/>
                <w:szCs w:val="18"/>
                <w:lang w:eastAsia="de-DE"/>
              </w:rPr>
              <w:t>5.75</w:t>
            </w:r>
          </w:p>
        </w:tc>
      </w:tr>
    </w:tbl>
    <w:p w:rsidR="00065EB5" w:rsidRDefault="00065EB5" w:rsidP="00065EB5">
      <w:pPr>
        <w:adjustRightInd w:val="0"/>
        <w:snapToGrid w:val="0"/>
        <w:spacing w:after="0" w:line="260" w:lineRule="atLeast"/>
        <w:ind w:leftChars="40" w:left="88" w:rightChars="300" w:right="660"/>
        <w:jc w:val="both"/>
        <w:rPr>
          <w:rFonts w:ascii="Palatino Linotype" w:hAnsi="Palatino Linotype" w:cs="Times New Roman"/>
          <w:color w:val="000000"/>
          <w:sz w:val="18"/>
          <w:szCs w:val="18"/>
          <w:lang w:bidi="en-US"/>
        </w:rPr>
      </w:pPr>
      <w:r w:rsidRPr="00065EB5">
        <w:rPr>
          <w:rFonts w:ascii="Palatino Linotype" w:hAnsi="Palatino Linotype" w:cs="Times New Roman" w:hint="eastAsia"/>
          <w:color w:val="000000"/>
          <w:sz w:val="18"/>
          <w:szCs w:val="18"/>
          <w:lang w:bidi="en-US"/>
        </w:rPr>
        <w:t>* reference category</w:t>
      </w:r>
    </w:p>
    <w:p w:rsidR="00065EB5" w:rsidRPr="00065EB5" w:rsidRDefault="00065EB5" w:rsidP="00065EB5">
      <w:pPr>
        <w:adjustRightInd w:val="0"/>
        <w:snapToGrid w:val="0"/>
        <w:spacing w:after="0" w:line="260" w:lineRule="atLeast"/>
        <w:ind w:leftChars="40" w:left="88" w:rightChars="300" w:right="660"/>
        <w:jc w:val="both"/>
        <w:rPr>
          <w:rFonts w:ascii="Palatino Linotype" w:hAnsi="Palatino Linotype" w:cs="Times New Roman"/>
          <w:color w:val="000000"/>
          <w:sz w:val="18"/>
          <w:szCs w:val="18"/>
          <w:lang w:bidi="en-US"/>
        </w:rPr>
      </w:pPr>
    </w:p>
    <w:p w:rsidR="00065EB5" w:rsidRPr="00065EB5" w:rsidRDefault="00065EB5" w:rsidP="00065EB5">
      <w:pPr>
        <w:adjustRightInd w:val="0"/>
        <w:snapToGrid w:val="0"/>
        <w:spacing w:after="0" w:line="260" w:lineRule="atLeast"/>
        <w:ind w:rightChars="300" w:right="660"/>
        <w:jc w:val="both"/>
        <w:rPr>
          <w:rFonts w:ascii="Palatino Linotype" w:hAnsi="Palatino Linotype" w:cs="Times New Roman"/>
          <w:color w:val="000000"/>
          <w:sz w:val="18"/>
          <w:szCs w:val="18"/>
          <w:lang w:bidi="en-US"/>
        </w:rPr>
      </w:pPr>
      <w:r w:rsidRPr="00065EB5">
        <w:rPr>
          <w:rFonts w:ascii="Palatino Linotype" w:eastAsia="맑은 고딕" w:hAnsi="Palatino Linotype" w:cs="Times New Roman"/>
          <w:color w:val="000000"/>
          <w:sz w:val="18"/>
          <w:szCs w:val="18"/>
          <w:lang w:bidi="en-US"/>
        </w:rPr>
        <w:t>MELD, model for end stage liver disease; AST, aspartate aminotransferase; ALT, alanine aminotransferase; ALP, alkaline phosphatase; BM-MSC, bone marrow-derived mesenchymal stem cell</w:t>
      </w:r>
    </w:p>
    <w:p w:rsidR="00065EB5" w:rsidRPr="00C6115B" w:rsidRDefault="00065EB5" w:rsidP="00657B21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EB5" w:rsidRDefault="00065EB5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657B21" w:rsidRPr="005340F6" w:rsidRDefault="00065EB5" w:rsidP="00657B21">
      <w:pPr>
        <w:spacing w:before="120" w:after="100" w:afterAutospacing="1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Supplement table 2</w:t>
      </w:r>
      <w:r w:rsidR="00657B21" w:rsidRPr="001C191E">
        <w:rPr>
          <w:rFonts w:ascii="Times New Roman" w:hAnsi="Times New Roman" w:cs="Times New Roman"/>
          <w:b/>
          <w:sz w:val="20"/>
          <w:szCs w:val="20"/>
        </w:rPr>
        <w:t>.</w:t>
      </w:r>
      <w:r w:rsidR="00657B21" w:rsidRPr="001C191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DD4FA1">
        <w:rPr>
          <w:rFonts w:ascii="Times New Roman" w:hAnsi="Times New Roman" w:cs="Times New Roman"/>
          <w:b/>
          <w:sz w:val="20"/>
          <w:szCs w:val="20"/>
        </w:rPr>
        <w:t>S</w:t>
      </w:r>
      <w:r w:rsidR="00657B21" w:rsidRPr="001C191E">
        <w:rPr>
          <w:rFonts w:ascii="Times New Roman" w:hAnsi="Times New Roman" w:cs="Times New Roman"/>
          <w:b/>
          <w:sz w:val="20"/>
          <w:szCs w:val="20"/>
        </w:rPr>
        <w:t xml:space="preserve">ignificant cellular process </w:t>
      </w:r>
      <w:r w:rsidR="00657B21" w:rsidRPr="007303DC">
        <w:rPr>
          <w:rFonts w:ascii="Times New Roman" w:hAnsi="Times New Roman" w:cs="Times New Roman"/>
          <w:b/>
          <w:sz w:val="20"/>
          <w:szCs w:val="20"/>
        </w:rPr>
        <w:t>between alcoholic cirrhosis and control group</w:t>
      </w:r>
    </w:p>
    <w:tbl>
      <w:tblPr>
        <w:tblStyle w:val="a3"/>
        <w:tblW w:w="9356" w:type="dxa"/>
        <w:tblLook w:val="04A0" w:firstRow="1" w:lastRow="0" w:firstColumn="1" w:lastColumn="0" w:noHBand="0" w:noVBand="1"/>
      </w:tblPr>
      <w:tblGrid>
        <w:gridCol w:w="2972"/>
        <w:gridCol w:w="851"/>
        <w:gridCol w:w="5533"/>
      </w:tblGrid>
      <w:tr w:rsidR="00657B21" w:rsidTr="00FF5A70">
        <w:trPr>
          <w:trHeight w:val="300"/>
        </w:trPr>
        <w:tc>
          <w:tcPr>
            <w:tcW w:w="2972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Term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5533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Genes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 part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RASA4B, GFRA1, INHBB, KIR3DL2, P4HA1, PDK1, SERPINF1, BNIP3, STC1, ZFY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RASA4B, GFRA1, INHBB, KIR3DL2, P4HA1, PDK1, SERPINF1, BNIP3, STC1, ZFY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Extracellular region part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FBN2, GFRA1, INHBB, SERPINF1, STC1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Extracellular region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0.024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FBN2, GFRA1, INHBB, SERPINF1, STC1</w:t>
            </w:r>
          </w:p>
        </w:tc>
      </w:tr>
      <w:tr w:rsidR="00657B21" w:rsidTr="00FF5A70">
        <w:trPr>
          <w:trHeight w:val="458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Oxidoreductase complex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0.024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P4HA1, PDK1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Extracellular matrix component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0.033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FBN2, SERPINF1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Cytoplasm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0.04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RASA4B, INHBB, P4HA1,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Cytoplasmic part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0.043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RASA4B, INHBB, P4HA1, PDK1, SERPINF1, BNIP3</w:t>
            </w:r>
          </w:p>
        </w:tc>
      </w:tr>
      <w:tr w:rsidR="00657B21" w:rsidTr="00FF5A70">
        <w:trPr>
          <w:trHeight w:val="300"/>
        </w:trPr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Extracellular space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55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INHBB, SERPINF1, STC1</w:t>
            </w:r>
          </w:p>
        </w:tc>
      </w:tr>
    </w:tbl>
    <w:p w:rsidR="00657B21" w:rsidRPr="007303DC" w:rsidRDefault="00657B21" w:rsidP="00657B21">
      <w:pPr>
        <w:spacing w:line="48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RASA4B, RAS P21 protein a</w:t>
      </w:r>
      <w:r w:rsidRPr="002853CD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ctivator 4B; GFRA1, GDNF family receptor alpha-1;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INHBB, inhibin subunit b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eta B;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KIR3DL2, killer cell immunoglobulin like receptor,</w:t>
      </w:r>
      <w:r w:rsidRPr="00FD2A25">
        <w:t xml:space="preserve"> </w:t>
      </w:r>
      <w:r w:rsidRPr="00FD2A25">
        <w:rPr>
          <w:rFonts w:ascii="Times New Roman" w:hAnsi="Times New Roman" w:cs="Times New Roman"/>
          <w:color w:val="000000" w:themeColor="text1"/>
          <w:sz w:val="16"/>
          <w:szCs w:val="16"/>
        </w:rPr>
        <w:t>three Ig domains and long cytoplasmic tail 2;</w:t>
      </w:r>
      <w:r w:rsidRPr="002853CD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P4HA1, prolyl 4-hydroxylase subunit a</w:t>
      </w:r>
      <w:r w:rsidRPr="002853CD">
        <w:rPr>
          <w:rFonts w:ascii="Times New Roman" w:hAnsi="Times New Roman" w:cs="Times New Roman"/>
          <w:color w:val="000000" w:themeColor="text1"/>
          <w:sz w:val="16"/>
          <w:szCs w:val="16"/>
        </w:rPr>
        <w:t>lpha-1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; PDK1, pyruvate dehydrogenase k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inase 1; </w:t>
      </w:r>
      <w:r w:rsidRPr="00E35122">
        <w:rPr>
          <w:rFonts w:ascii="Times New Roman" w:hAnsi="Times New Roman" w:cs="Times New Roman"/>
          <w:color w:val="000000" w:themeColor="text1"/>
          <w:sz w:val="16"/>
          <w:szCs w:val="16"/>
        </w:rPr>
        <w:t>SERPINF1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, p</w:t>
      </w:r>
      <w:r w:rsidRPr="00E35122">
        <w:rPr>
          <w:rFonts w:ascii="Times New Roman" w:hAnsi="Times New Roman" w:cs="Times New Roman"/>
          <w:color w:val="000000" w:themeColor="text1"/>
          <w:sz w:val="16"/>
          <w:szCs w:val="16"/>
        </w:rPr>
        <w:t>igment epithelium-derived factor (PEDF);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BNIP3, BCL2 interacting p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rotein 3; </w:t>
      </w:r>
      <w:r w:rsidRPr="002853CD">
        <w:rPr>
          <w:rFonts w:ascii="Times New Roman" w:hAnsi="Times New Roman" w:cs="Times New Roman"/>
          <w:color w:val="000000" w:themeColor="text1"/>
          <w:sz w:val="16"/>
          <w:szCs w:val="16"/>
        </w:rPr>
        <w:t>STC1, Stanniocalcin-1;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ZFY, zinc finger protein Y-linked; FBN2, fibrillin-2 precursor</w:t>
      </w:r>
    </w:p>
    <w:p w:rsidR="00065EB5" w:rsidRDefault="00065EB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br w:type="page"/>
      </w:r>
    </w:p>
    <w:p w:rsidR="00657B21" w:rsidRPr="005340F6" w:rsidRDefault="00065EB5" w:rsidP="00657B2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Supplement table 3</w:t>
      </w:r>
      <w:r w:rsidR="00657B21" w:rsidRPr="001C191E">
        <w:rPr>
          <w:rFonts w:ascii="Times New Roman" w:hAnsi="Times New Roman" w:cs="Times New Roman"/>
          <w:b/>
          <w:sz w:val="20"/>
          <w:szCs w:val="20"/>
        </w:rPr>
        <w:t>.</w:t>
      </w:r>
      <w:r w:rsidR="00657B2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DD4F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</w:t>
      </w:r>
      <w:r w:rsidR="00657B2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op 10 biological process between</w:t>
      </w:r>
      <w:r w:rsidR="00657B21" w:rsidRPr="005340F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657B2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alcoholic cirrhosis and c</w:t>
      </w:r>
      <w:r w:rsidR="00657B21" w:rsidRPr="005340F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ontrol</w:t>
      </w:r>
      <w:r w:rsidR="00657B2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group</w:t>
      </w:r>
    </w:p>
    <w:tbl>
      <w:tblPr>
        <w:tblStyle w:val="a3"/>
        <w:tblW w:w="9356" w:type="dxa"/>
        <w:tblLook w:val="04A0" w:firstRow="1" w:lastRow="0" w:firstColumn="1" w:lastColumn="0" w:noHBand="0" w:noVBand="1"/>
      </w:tblPr>
      <w:tblGrid>
        <w:gridCol w:w="3397"/>
        <w:gridCol w:w="993"/>
        <w:gridCol w:w="4966"/>
      </w:tblGrid>
      <w:tr w:rsidR="00657B21" w:rsidTr="00FF5A70">
        <w:trPr>
          <w:trHeight w:val="449"/>
        </w:trPr>
        <w:tc>
          <w:tcPr>
            <w:tcW w:w="3397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Term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4966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Genes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Response to abiotic stimulus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INHBB,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Response to external stimulus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0.0003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GFRA1, INHBB,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Regulation of biological process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0.0003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RASA4B, FBN2, GFRA1, INHBB, KIR3DL2, PDK1, SERPINF1, BNIP3, STC1, ZFY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Response to stimulus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0.0004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RASA4B, FBN2, GFRA1, INHBB, KIR3DL2,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Response to chemical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0.0004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FBN2, GFRA1, INHBB,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Cellular response to chemical stimulus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0.0004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FBN2, INHBB,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Cellular response to hypoxia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0.0005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PDK1,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Cellular response to decreased oxygen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0.0005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PDK1, BNIP3, STC1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Biological regulation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0.0005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RASA4B, FBN2, GFRA1, INHBB, KIR3DL2, PDK1, SERPINF1, BNIP3, STC1, ZFY</w:t>
            </w:r>
          </w:p>
        </w:tc>
      </w:tr>
      <w:tr w:rsidR="00657B21" w:rsidTr="00FF5A70">
        <w:trPr>
          <w:trHeight w:val="300"/>
        </w:trPr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Cellular response to oxygen levels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49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PDK1, BNIP3, STC1</w:t>
            </w:r>
          </w:p>
        </w:tc>
      </w:tr>
    </w:tbl>
    <w:p w:rsidR="00657B21" w:rsidRPr="007303DC" w:rsidRDefault="00657B21" w:rsidP="00657B21">
      <w:pPr>
        <w:spacing w:line="48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INHBB, inhibin subunit beta B; PDK1, pyruvate dehydrogenase k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inase 1;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SERPINF1, p</w:t>
      </w:r>
      <w:r w:rsidRPr="00E35122">
        <w:rPr>
          <w:rFonts w:ascii="Times New Roman" w:hAnsi="Times New Roman" w:cs="Times New Roman"/>
          <w:color w:val="000000" w:themeColor="text1"/>
          <w:sz w:val="16"/>
          <w:szCs w:val="16"/>
        </w:rPr>
        <w:t>igment epithelium-derived factor (PEDF)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; STC1, s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tanniocal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cin-1; BNIP3, BCL2 Interacting p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rotein 3; GFRA1, GDNF family rec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eptor alpha-1; RASA4B, RAS P21 protein a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c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tivator 4B; FBN2, fibrillin-2 precursor; KIR3DL2, killer cell immunoglobulin like receptor, three Ig domains and long cytoplasmic tail 2; ZFY, zinc finger protein, Y-l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inked</w:t>
      </w:r>
    </w:p>
    <w:p w:rsidR="00657B21" w:rsidRDefault="00657B21" w:rsidP="00657B21">
      <w:pPr>
        <w:spacing w:before="120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57B21" w:rsidRPr="00ED5349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Pr="005340F6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57B21" w:rsidRDefault="00657B21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D4FA1" w:rsidRDefault="00DD4FA1" w:rsidP="00657B21">
      <w:pPr>
        <w:spacing w:before="120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657B21" w:rsidRPr="001C191E" w:rsidRDefault="00065EB5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Supplement table 4</w:t>
      </w:r>
      <w:r w:rsidR="00657B21" w:rsidRPr="00E432E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="00DD4FA1">
        <w:rPr>
          <w:rFonts w:ascii="Times New Roman" w:eastAsia="Times New Roman" w:hAnsi="Times New Roman" w:cs="Times New Roman" w:hint="eastAsia"/>
          <w:b/>
          <w:color w:val="000000"/>
          <w:sz w:val="20"/>
          <w:szCs w:val="20"/>
        </w:rPr>
        <w:t xml:space="preserve"> </w:t>
      </w:r>
      <w:r w:rsidR="00DD4FA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</w:t>
      </w:r>
      <w:r w:rsidR="00657B2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ignificant mo</w:t>
      </w:r>
      <w:r w:rsidR="00657B21" w:rsidRPr="001C191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lecular </w:t>
      </w:r>
      <w:r w:rsidR="00657B2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function</w:t>
      </w:r>
      <w:r w:rsidR="00657B21" w:rsidRPr="001C191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57B21" w:rsidRPr="004C089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between alcoholic cirrhosis and control group</w:t>
      </w:r>
    </w:p>
    <w:tbl>
      <w:tblPr>
        <w:tblStyle w:val="a3"/>
        <w:tblW w:w="9356" w:type="dxa"/>
        <w:tblLook w:val="04A0" w:firstRow="1" w:lastRow="0" w:firstColumn="1" w:lastColumn="0" w:noHBand="0" w:noVBand="1"/>
      </w:tblPr>
      <w:tblGrid>
        <w:gridCol w:w="4813"/>
        <w:gridCol w:w="879"/>
        <w:gridCol w:w="3664"/>
      </w:tblGrid>
      <w:tr w:rsidR="00657B21" w:rsidTr="00FF5A70">
        <w:trPr>
          <w:trHeight w:val="300"/>
        </w:trPr>
        <w:tc>
          <w:tcPr>
            <w:tcW w:w="4813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Term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noWrap/>
            <w:hideMark/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3664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Genes</w:t>
            </w:r>
          </w:p>
        </w:tc>
      </w:tr>
      <w:tr w:rsidR="00657B21" w:rsidTr="00FF5A70">
        <w:trPr>
          <w:trHeight w:val="300"/>
        </w:trPr>
        <w:tc>
          <w:tcPr>
            <w:tcW w:w="481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Binding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RASA4B, FBN2, GFRA1, INHBB, P4HA1, PDK1, SERPINF1, BNIP3, STC1, ZFY</w:t>
            </w:r>
          </w:p>
        </w:tc>
      </w:tr>
      <w:tr w:rsidR="00657B21" w:rsidTr="00FF5A70">
        <w:trPr>
          <w:trHeight w:val="300"/>
        </w:trPr>
        <w:tc>
          <w:tcPr>
            <w:tcW w:w="48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Protein Binding</w:t>
            </w:r>
          </w:p>
        </w:tc>
        <w:tc>
          <w:tcPr>
            <w:tcW w:w="8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3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FBN2, GFRA1, INHBB, P4HA1, PDK1, SERPINF1, BNIP3, STC1</w:t>
            </w:r>
          </w:p>
        </w:tc>
      </w:tr>
      <w:tr w:rsidR="00657B21" w:rsidTr="00FF5A70">
        <w:trPr>
          <w:trHeight w:val="300"/>
        </w:trPr>
        <w:tc>
          <w:tcPr>
            <w:tcW w:w="48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Hormone Activity</w:t>
            </w:r>
          </w:p>
        </w:tc>
        <w:tc>
          <w:tcPr>
            <w:tcW w:w="8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noWrap/>
          </w:tcPr>
          <w:p w:rsidR="00657B21" w:rsidRPr="007303DC" w:rsidRDefault="00657B21" w:rsidP="00FF5A70">
            <w:pPr>
              <w:spacing w:before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sz w:val="18"/>
                <w:szCs w:val="18"/>
              </w:rPr>
              <w:t>0.031</w:t>
            </w:r>
          </w:p>
        </w:tc>
        <w:tc>
          <w:tcPr>
            <w:tcW w:w="3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:rsidR="00657B21" w:rsidRPr="007303DC" w:rsidRDefault="00657B21" w:rsidP="00FF5A70">
            <w:pPr>
              <w:spacing w:before="16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303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INHBB, STC1</w:t>
            </w:r>
          </w:p>
        </w:tc>
      </w:tr>
    </w:tbl>
    <w:p w:rsidR="00657B21" w:rsidRDefault="00657B21" w:rsidP="00657B21">
      <w:pPr>
        <w:spacing w:line="48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57B21" w:rsidRPr="007303DC" w:rsidRDefault="00657B21" w:rsidP="00657B21">
      <w:pPr>
        <w:spacing w:line="48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INHBB, inhibin subunit beta B; PDK1, pyruvate dehydrogenase k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inase 1;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SERPINF1, p</w:t>
      </w:r>
      <w:r w:rsidRPr="00E35122">
        <w:rPr>
          <w:rFonts w:ascii="Times New Roman" w:hAnsi="Times New Roman" w:cs="Times New Roman"/>
          <w:color w:val="000000" w:themeColor="text1"/>
          <w:sz w:val="16"/>
          <w:szCs w:val="16"/>
        </w:rPr>
        <w:t>igment epithelium-derived factor (PEDF);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BNIP3, BCL2 interacting p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rotein 3; GFRA1, GDNF family rec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eptor alpha-1; RASA4B, RAS P21 protein activator 4B; FBN2, f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>ibril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lin-2 precursor; ZFY, zinc finger p</w:t>
      </w:r>
      <w:r w:rsidRPr="007303D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rotein, Y-Linked; </w:t>
      </w:r>
      <w:r>
        <w:rPr>
          <w:rFonts w:ascii="Times New Roman" w:hAnsi="Times New Roman" w:cs="Times New Roman"/>
          <w:color w:val="000000"/>
          <w:sz w:val="16"/>
          <w:szCs w:val="16"/>
        </w:rPr>
        <w:t>STC1, stanniocalcin-1; P4HA1, prolyl 4-hydroxylase subunit a</w:t>
      </w:r>
      <w:r w:rsidRPr="007303DC">
        <w:rPr>
          <w:rFonts w:ascii="Times New Roman" w:hAnsi="Times New Roman" w:cs="Times New Roman"/>
          <w:color w:val="000000"/>
          <w:sz w:val="16"/>
          <w:szCs w:val="16"/>
        </w:rPr>
        <w:t>lpha-1.</w:t>
      </w:r>
    </w:p>
    <w:p w:rsidR="00657B21" w:rsidRDefault="00657B21" w:rsidP="00657B21">
      <w:pPr>
        <w:spacing w:line="480" w:lineRule="auto"/>
        <w:rPr>
          <w:rFonts w:ascii="Times New Roman" w:hAnsi="Times New Roman" w:cs="Times New Roman"/>
          <w:color w:val="000000" w:themeColor="text1"/>
        </w:rPr>
      </w:pPr>
    </w:p>
    <w:p w:rsidR="00657B21" w:rsidRDefault="00657B21" w:rsidP="00657B2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657B21" w:rsidRPr="00FC716A" w:rsidRDefault="00065EB5" w:rsidP="00657B21">
      <w:pPr>
        <w:spacing w:before="120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Supplement table 5</w:t>
      </w:r>
      <w:r w:rsidR="00657B2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 Profiling of up or down regulated gene expression in BM derived MSCs between </w:t>
      </w:r>
      <w:r w:rsidR="00657B21" w:rsidRPr="00DD6F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alcoholic cirrhosis and control group</w:t>
      </w:r>
    </w:p>
    <w:tbl>
      <w:tblPr>
        <w:tblW w:w="99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60"/>
        <w:gridCol w:w="1217"/>
        <w:gridCol w:w="7563"/>
      </w:tblGrid>
      <w:tr w:rsidR="00657B21" w:rsidRPr="00582F09" w:rsidTr="00FF5A70">
        <w:trPr>
          <w:trHeight w:val="344"/>
        </w:trPr>
        <w:tc>
          <w:tcPr>
            <w:tcW w:w="1160" w:type="dxa"/>
            <w:tcBorders>
              <w:top w:val="single" w:sz="12" w:space="0" w:color="000000"/>
              <w:left w:val="nil"/>
              <w:bottom w:val="single" w:sz="12" w:space="0" w:color="7F7F7F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Gene</w:t>
            </w:r>
          </w:p>
        </w:tc>
        <w:tc>
          <w:tcPr>
            <w:tcW w:w="1217" w:type="dxa"/>
            <w:tcBorders>
              <w:top w:val="single" w:sz="12" w:space="0" w:color="000000"/>
              <w:left w:val="nil"/>
              <w:bottom w:val="single" w:sz="12" w:space="0" w:color="7F7F7F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Fold Change</w:t>
            </w:r>
          </w:p>
        </w:tc>
        <w:tc>
          <w:tcPr>
            <w:tcW w:w="7563" w:type="dxa"/>
            <w:tcBorders>
              <w:top w:val="single" w:sz="12" w:space="0" w:color="000000"/>
              <w:left w:val="nil"/>
              <w:bottom w:val="single" w:sz="12" w:space="0" w:color="7F7F7F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Function</w:t>
            </w:r>
          </w:p>
        </w:tc>
      </w:tr>
      <w:tr w:rsidR="00657B21" w:rsidRPr="00582F09" w:rsidTr="00FF5A70">
        <w:trPr>
          <w:trHeight w:val="471"/>
        </w:trPr>
        <w:tc>
          <w:tcPr>
            <w:tcW w:w="1160" w:type="dxa"/>
            <w:tcBorders>
              <w:top w:val="single" w:sz="12" w:space="0" w:color="7F7F7F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GFRA1</w:t>
            </w:r>
          </w:p>
        </w:tc>
        <w:tc>
          <w:tcPr>
            <w:tcW w:w="1217" w:type="dxa"/>
            <w:tcBorders>
              <w:top w:val="single" w:sz="12" w:space="0" w:color="7F7F7F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2.08</w:t>
            </w:r>
          </w:p>
        </w:tc>
        <w:tc>
          <w:tcPr>
            <w:tcW w:w="7563" w:type="dxa"/>
            <w:tcBorders>
              <w:top w:val="single" w:sz="12" w:space="0" w:color="7F7F7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Cell development, control of neuron survival and differentiation.</w:t>
            </w:r>
          </w:p>
        </w:tc>
      </w:tr>
      <w:tr w:rsidR="00657B21" w:rsidRPr="00582F09" w:rsidTr="00FF5A70">
        <w:trPr>
          <w:trHeight w:val="3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FBN2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2.05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Regulation of transforming growth factor beta receptor signaling pathway</w:t>
            </w:r>
          </w:p>
        </w:tc>
      </w:tr>
      <w:tr w:rsidR="00657B21" w:rsidRPr="00582F09" w:rsidTr="00FF5A70">
        <w:trPr>
          <w:trHeight w:val="42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RASA4B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1.61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Regulate cell growth and differentiation, Regulating cell proliferation, survival, growth, migration and differentiation.</w:t>
            </w:r>
          </w:p>
        </w:tc>
      </w:tr>
      <w:tr w:rsidR="00657B21" w:rsidRPr="00582F09" w:rsidTr="00FF5A70">
        <w:trPr>
          <w:trHeight w:val="45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KIR3DL2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1.61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Regulation of immune system process, cellular defense response</w:t>
            </w:r>
          </w:p>
        </w:tc>
      </w:tr>
      <w:tr w:rsidR="00657B21" w:rsidRPr="00582F09" w:rsidTr="00FF5A70">
        <w:trPr>
          <w:trHeight w:val="34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MIR4436A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1.59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NA</w:t>
            </w:r>
          </w:p>
        </w:tc>
      </w:tr>
      <w:tr w:rsidR="00657B21" w:rsidRPr="00582F09" w:rsidTr="00FF5A70">
        <w:trPr>
          <w:trHeight w:val="60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SERPINF1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1.56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1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Regulation of stem cell proliferation, supporting stem cell survival and maintaining multipotency.</w:t>
            </w:r>
          </w:p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1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Release by resident stem cells that stimulate migration of cells in early regeneration.</w:t>
            </w:r>
          </w:p>
        </w:tc>
      </w:tr>
      <w:tr w:rsidR="00657B21" w:rsidRPr="00582F09" w:rsidTr="00FF5A70">
        <w:trPr>
          <w:trHeight w:val="71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STC1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-2.25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1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Cell morphogenesis involve in differentiation, multi cellular organismal development, negative regulation of cell migration.</w:t>
            </w:r>
          </w:p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16"/>
                <w:szCs w:val="36"/>
              </w:rPr>
            </w:pPr>
            <w:r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Inhibition of ROS production/r</w:t>
            </w: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eduction of ER stress/diminishing TGF beta .</w:t>
            </w:r>
          </w:p>
        </w:tc>
      </w:tr>
      <w:tr w:rsidR="00657B21" w:rsidRPr="00582F09" w:rsidTr="00FF5A70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RNU5F-1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-2.23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NA</w:t>
            </w:r>
          </w:p>
        </w:tc>
      </w:tr>
      <w:tr w:rsidR="00657B21" w:rsidRPr="00582F09" w:rsidTr="00FF5A70">
        <w:trPr>
          <w:trHeight w:val="29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TEKT4P2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-1.96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NA</w:t>
            </w:r>
          </w:p>
        </w:tc>
      </w:tr>
      <w:tr w:rsidR="00657B21" w:rsidRPr="00582F09" w:rsidTr="00FF5A70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ZFY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-1.69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 xml:space="preserve">Regulation of biosynthetic process, regulation of cellular process. </w:t>
            </w:r>
          </w:p>
        </w:tc>
      </w:tr>
      <w:tr w:rsidR="00657B21" w:rsidRPr="00582F09" w:rsidTr="00FF5A70">
        <w:trPr>
          <w:trHeight w:val="33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BNIP3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-1.63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Immune system process, signal transduction, cell differentiation, negative regulation of apoptotic process.</w:t>
            </w:r>
          </w:p>
        </w:tc>
      </w:tr>
      <w:tr w:rsidR="00657B21" w:rsidRPr="00582F09" w:rsidTr="00FF5A70">
        <w:trPr>
          <w:trHeight w:val="296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LOC105376694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-1.62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NA</w:t>
            </w:r>
          </w:p>
        </w:tc>
      </w:tr>
      <w:tr w:rsidR="00657B21" w:rsidRPr="00582F09" w:rsidTr="00FF5A70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PDK1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-1.60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Biosynthetic process, stem cell proliferation and migration.</w:t>
            </w:r>
          </w:p>
        </w:tc>
      </w:tr>
      <w:tr w:rsidR="00657B21" w:rsidRPr="00582F09" w:rsidTr="00FF5A70">
        <w:trPr>
          <w:trHeight w:val="31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INHBB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-1.58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Transforming growth factor beta receptor binding, growth factor activity, protein secretion.</w:t>
            </w:r>
          </w:p>
        </w:tc>
      </w:tr>
      <w:tr w:rsidR="00657B21" w:rsidRPr="00582F09" w:rsidTr="00FF5A70">
        <w:trPr>
          <w:trHeight w:val="328"/>
        </w:trPr>
        <w:tc>
          <w:tcPr>
            <w:tcW w:w="11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P4HA1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7B21" w:rsidRPr="00582F09" w:rsidRDefault="00657B21" w:rsidP="00FF5A70">
            <w:pPr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 w:themeColor="text1"/>
                <w:kern w:val="24"/>
                <w:sz w:val="16"/>
                <w:szCs w:val="16"/>
              </w:rPr>
              <w:t>-1.50</w:t>
            </w:r>
          </w:p>
        </w:tc>
        <w:tc>
          <w:tcPr>
            <w:tcW w:w="756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7B21" w:rsidRPr="00582F09" w:rsidRDefault="00657B21" w:rsidP="00FF5A70">
            <w:pPr>
              <w:spacing w:after="0" w:line="240" w:lineRule="auto"/>
              <w:rPr>
                <w:rFonts w:ascii="Arial" w:eastAsia="굴림" w:hAnsi="Arial" w:cs="Arial"/>
                <w:sz w:val="36"/>
                <w:szCs w:val="36"/>
              </w:rPr>
            </w:pPr>
            <w:r w:rsidRPr="00582F09">
              <w:rPr>
                <w:rFonts w:ascii="Times New Roman" w:eastAsia="굴림" w:hAnsi="Times New Roman" w:cs="Times New Roman"/>
                <w:color w:val="000000"/>
                <w:kern w:val="24"/>
                <w:sz w:val="16"/>
                <w:szCs w:val="16"/>
              </w:rPr>
              <w:t>Key enzyme in collagen synthesis, collagen fibril organization.</w:t>
            </w:r>
          </w:p>
        </w:tc>
      </w:tr>
    </w:tbl>
    <w:p w:rsidR="00657B21" w:rsidRDefault="00657B21" w:rsidP="00657B21">
      <w:pPr>
        <w:spacing w:line="240" w:lineRule="auto"/>
        <w:jc w:val="both"/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</w:pPr>
    </w:p>
    <w:p w:rsidR="00657B21" w:rsidRPr="00582F09" w:rsidRDefault="00657B21" w:rsidP="00657B21">
      <w:pPr>
        <w:spacing w:line="240" w:lineRule="auto"/>
        <w:jc w:val="both"/>
        <w:rPr>
          <w:rFonts w:ascii="굴림" w:eastAsia="굴림" w:hAnsi="굴림" w:cs="굴림"/>
          <w:sz w:val="24"/>
          <w:szCs w:val="24"/>
        </w:rPr>
      </w:pP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 xml:space="preserve">GFRA1, GDNF </w:t>
      </w:r>
      <w:r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family receptor alpha-1; FBN2, f</w:t>
      </w: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ibrilli</w:t>
      </w:r>
      <w:r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n-2 precursor; RASA4B, RAS P21 protein a</w:t>
      </w: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ctivator 4B; KIR</w:t>
      </w:r>
      <w:r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3DL2, killer cell immunoglobulin like receptor, three Ig domains and long cytoplasmic t</w:t>
      </w: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 xml:space="preserve">ail 2; </w:t>
      </w:r>
      <w:r w:rsidRPr="00582F09">
        <w:rPr>
          <w:rFonts w:ascii="Times New Roman" w:hAnsi="Times New Roman" w:cs="Times New Roman"/>
          <w:color w:val="000000"/>
          <w:kern w:val="24"/>
          <w:sz w:val="16"/>
          <w:szCs w:val="16"/>
        </w:rPr>
        <w:t xml:space="preserve">MIR4436A, </w:t>
      </w:r>
      <w:r w:rsidRPr="00582F09"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 xml:space="preserve">microRNA 4436a; </w:t>
      </w: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 xml:space="preserve">SERPINF1, </w:t>
      </w:r>
      <w:r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>p</w:t>
      </w:r>
      <w:r w:rsidRPr="00582F09"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>igment epithelium-derived factor (PEDF)</w:t>
      </w:r>
      <w:r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; STC1, s</w:t>
      </w:r>
      <w:r w:rsidRPr="00582F09"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 xml:space="preserve">tanniocalcin-1; </w:t>
      </w:r>
      <w:r w:rsidRPr="00582F09">
        <w:rPr>
          <w:rFonts w:ascii="Times New Roman" w:hAnsi="Times New Roman" w:cs="Times New Roman"/>
          <w:color w:val="000000"/>
          <w:kern w:val="24"/>
          <w:sz w:val="16"/>
          <w:szCs w:val="16"/>
        </w:rPr>
        <w:t xml:space="preserve">RNU5F-1, </w:t>
      </w:r>
      <w:r w:rsidRPr="00582F09"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 xml:space="preserve">RNA, U5F small nuclear 1; </w:t>
      </w:r>
      <w:r w:rsidRPr="00582F09">
        <w:rPr>
          <w:rFonts w:ascii="Times New Roman" w:hAnsi="Times New Roman" w:cs="Times New Roman"/>
          <w:color w:val="000000"/>
          <w:kern w:val="24"/>
          <w:sz w:val="16"/>
          <w:szCs w:val="16"/>
        </w:rPr>
        <w:t xml:space="preserve">TEKT4P2, </w:t>
      </w:r>
      <w:r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>t</w:t>
      </w:r>
      <w:r w:rsidRPr="00582F09">
        <w:rPr>
          <w:rFonts w:ascii="Times New Roman" w:hAnsi="Times New Roman" w:cs="Times New Roman"/>
          <w:color w:val="000000" w:themeColor="text1"/>
          <w:kern w:val="24"/>
          <w:sz w:val="16"/>
          <w:szCs w:val="16"/>
        </w:rPr>
        <w:t xml:space="preserve">ektin 4 pseudogene 2; </w:t>
      </w:r>
      <w:r>
        <w:rPr>
          <w:rFonts w:ascii="Times New Roman" w:eastAsia="맑은 고딕" w:hAnsi="Times New Roman" w:cs="Times New Roman"/>
          <w:color w:val="000000"/>
          <w:kern w:val="24"/>
          <w:sz w:val="16"/>
          <w:szCs w:val="16"/>
        </w:rPr>
        <w:t>ZFY, zinc finger protein, Y-Linked; BNIP3, BCL2 interacting protein 3; PDK1, pyruvate dehydrogenase kinase 1; INHBB, inhibin subunit beta B; P4HA1, prolyl 4-hydroxylase subunit alpha 1</w:t>
      </w:r>
    </w:p>
    <w:p w:rsidR="00657B21" w:rsidRPr="00582F09" w:rsidRDefault="00657B21" w:rsidP="00657B21">
      <w:pPr>
        <w:spacing w:before="120" w:after="100" w:afterAutospacing="1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57B21" w:rsidRDefault="00657B21" w:rsidP="00657B21">
      <w:pPr>
        <w:spacing w:line="480" w:lineRule="auto"/>
        <w:rPr>
          <w:rFonts w:ascii="Times New Roman" w:hAnsi="Times New Roman" w:cs="Times New Roman"/>
          <w:color w:val="000000" w:themeColor="text1"/>
        </w:rPr>
      </w:pPr>
    </w:p>
    <w:p w:rsidR="000B2B1B" w:rsidRPr="00657B21" w:rsidRDefault="000B2B1B"/>
    <w:sectPr w:rsidR="000B2B1B" w:rsidRPr="00657B21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F37" w:rsidRDefault="00D80F37" w:rsidP="003C369E">
      <w:pPr>
        <w:spacing w:after="0" w:line="240" w:lineRule="auto"/>
      </w:pPr>
      <w:r>
        <w:separator/>
      </w:r>
    </w:p>
  </w:endnote>
  <w:endnote w:type="continuationSeparator" w:id="0">
    <w:p w:rsidR="00D80F37" w:rsidRDefault="00D80F37" w:rsidP="003C3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F37" w:rsidRDefault="00D80F37" w:rsidP="003C369E">
      <w:pPr>
        <w:spacing w:after="0" w:line="240" w:lineRule="auto"/>
      </w:pPr>
      <w:r>
        <w:separator/>
      </w:r>
    </w:p>
  </w:footnote>
  <w:footnote w:type="continuationSeparator" w:id="0">
    <w:p w:rsidR="00D80F37" w:rsidRDefault="00D80F37" w:rsidP="003C36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21"/>
    <w:rsid w:val="00065EB5"/>
    <w:rsid w:val="000B2B1B"/>
    <w:rsid w:val="00287330"/>
    <w:rsid w:val="003C369E"/>
    <w:rsid w:val="004C03BA"/>
    <w:rsid w:val="00657B21"/>
    <w:rsid w:val="00D80F37"/>
    <w:rsid w:val="00DD4FA1"/>
    <w:rsid w:val="00EA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C546EAF-2EDF-406A-819A-6086AFC6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21"/>
    <w:pPr>
      <w:jc w:val="left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7B21"/>
    <w:pPr>
      <w:spacing w:after="0" w:line="240" w:lineRule="auto"/>
      <w:jc w:val="left"/>
    </w:pPr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C369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C369E"/>
    <w:rPr>
      <w:kern w:val="0"/>
      <w:sz w:val="22"/>
    </w:rPr>
  </w:style>
  <w:style w:type="paragraph" w:styleId="a5">
    <w:name w:val="footer"/>
    <w:basedOn w:val="a"/>
    <w:link w:val="Char0"/>
    <w:uiPriority w:val="99"/>
    <w:unhideWhenUsed/>
    <w:rsid w:val="003C369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C369E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o</cp:lastModifiedBy>
  <cp:revision>2</cp:revision>
  <dcterms:created xsi:type="dcterms:W3CDTF">2019-06-09T05:29:00Z</dcterms:created>
  <dcterms:modified xsi:type="dcterms:W3CDTF">2019-06-09T05:29:00Z</dcterms:modified>
</cp:coreProperties>
</file>